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299" w:rsidRPr="00350917" w:rsidRDefault="003A0299" w:rsidP="003A0299">
      <w:pPr>
        <w:autoSpaceDE w:val="0"/>
        <w:autoSpaceDN w:val="0"/>
        <w:adjustRightInd w:val="0"/>
        <w:spacing w:before="57" w:line="271" w:lineRule="auto"/>
        <w:ind w:firstLine="283"/>
        <w:jc w:val="both"/>
        <w:textAlignment w:val="center"/>
        <w:rPr>
          <w:rFonts w:ascii="TimokCYR Cyr" w:hAnsi="TimokCYR Cyr" w:cs="TimokCYR Cyr"/>
          <w:color w:val="000000"/>
          <w:spacing w:val="-3"/>
          <w:w w:val="98"/>
          <w:sz w:val="17"/>
          <w:szCs w:val="17"/>
          <w:lang w:val="bg-BG"/>
        </w:rPr>
      </w:pPr>
      <w:r w:rsidRPr="00350917">
        <w:rPr>
          <w:rFonts w:ascii="TimokCYR Cyr" w:hAnsi="TimokCYR Cyr" w:cs="TimokCYR Cyr"/>
          <w:b/>
          <w:bCs/>
          <w:color w:val="000000"/>
          <w:spacing w:val="-3"/>
          <w:w w:val="98"/>
          <w:sz w:val="17"/>
          <w:szCs w:val="17"/>
          <w:lang w:val="bg-BG"/>
        </w:rPr>
        <w:t>Чл. 29.</w:t>
      </w:r>
      <w:r w:rsidRPr="00350917">
        <w:rPr>
          <w:rFonts w:ascii="TimokCYR Cyr" w:hAnsi="TimokCYR Cyr" w:cs="TimokCYR Cyr"/>
          <w:color w:val="000000"/>
          <w:spacing w:val="-3"/>
          <w:w w:val="98"/>
          <w:sz w:val="17"/>
          <w:szCs w:val="17"/>
          <w:lang w:val="bg-BG"/>
        </w:rPr>
        <w:t xml:space="preserve"> (1) Приема бюджета на 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за 2025 г., както следва:</w:t>
      </w:r>
    </w:p>
    <w:tbl>
      <w:tblPr>
        <w:tblW w:w="0" w:type="auto"/>
        <w:tblInd w:w="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7596"/>
        <w:gridCol w:w="1124"/>
      </w:tblGrid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№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Показатели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Сума</w:t>
            </w: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br/>
              <w:t>(</w:t>
            </w:r>
            <w:proofErr w:type="gramStart"/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хил</w:t>
            </w:r>
            <w:proofErr w:type="gramEnd"/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. лв.)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 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2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I.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ПРИХОДИ, ПОМОЩИ И ДАРЕНИЯ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0,</w:t>
            </w:r>
            <w:proofErr w:type="spellStart"/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0</w:t>
            </w:r>
            <w:proofErr w:type="spellEnd"/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II.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proofErr w:type="gramStart"/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 xml:space="preserve">РАЗХОДИ                                       </w:t>
            </w:r>
            <w:proofErr w:type="gram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5 301,3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proofErr w:type="gramStart"/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 xml:space="preserve">1.     </w:t>
            </w:r>
            <w:proofErr w:type="gramEnd"/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ind w:firstLine="220"/>
              <w:jc w:val="both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i/>
                <w:iCs/>
                <w:color w:val="000000"/>
                <w:sz w:val="14"/>
                <w:szCs w:val="14"/>
                <w:lang w:val="bg-BG"/>
              </w:rPr>
              <w:t xml:space="preserve">Текущи </w:t>
            </w:r>
            <w:proofErr w:type="gramStart"/>
            <w:r w:rsidRPr="00350917">
              <w:rPr>
                <w:rFonts w:ascii="TimokCYR Cyr" w:hAnsi="TimokCYR Cyr" w:cs="TimokCYR Cyr"/>
                <w:i/>
                <w:iCs/>
                <w:color w:val="000000"/>
                <w:sz w:val="14"/>
                <w:szCs w:val="14"/>
                <w:lang w:val="bg-BG"/>
              </w:rPr>
              <w:t xml:space="preserve">разходи                                            </w:t>
            </w:r>
            <w:proofErr w:type="gram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5 221,3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 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ind w:firstLine="440"/>
              <w:jc w:val="both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proofErr w:type="gramStart"/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в</w:t>
            </w:r>
            <w:proofErr w:type="gramEnd"/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 xml:space="preserve"> т.ч.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 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1.</w:t>
            </w:r>
            <w:proofErr w:type="spellStart"/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1</w:t>
            </w:r>
            <w:proofErr w:type="spellEnd"/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.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ind w:firstLine="440"/>
              <w:jc w:val="both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Персонал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4 262,4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proofErr w:type="gramStart"/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 xml:space="preserve">2.     </w:t>
            </w:r>
            <w:proofErr w:type="gramEnd"/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ind w:firstLine="220"/>
              <w:jc w:val="both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i/>
                <w:iCs/>
                <w:color w:val="000000"/>
                <w:sz w:val="14"/>
                <w:szCs w:val="14"/>
                <w:lang w:val="bg-BG"/>
              </w:rPr>
              <w:t xml:space="preserve">Капиталови </w:t>
            </w:r>
            <w:proofErr w:type="gramStart"/>
            <w:r w:rsidRPr="00350917">
              <w:rPr>
                <w:rFonts w:ascii="TimokCYR Cyr" w:hAnsi="TimokCYR Cyr" w:cs="TimokCYR Cyr"/>
                <w:i/>
                <w:iCs/>
                <w:color w:val="000000"/>
                <w:sz w:val="14"/>
                <w:szCs w:val="14"/>
                <w:lang w:val="bg-BG"/>
              </w:rPr>
              <w:t xml:space="preserve">разходи </w:t>
            </w:r>
            <w:proofErr w:type="gram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80,0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2.1.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ind w:firstLine="440"/>
              <w:jc w:val="both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 xml:space="preserve">Придобиване на дълготрайни активи и основен </w:t>
            </w:r>
            <w:proofErr w:type="gramStart"/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 xml:space="preserve">ремонт </w:t>
            </w:r>
            <w:proofErr w:type="gram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80,0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III.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БЮДЖЕТНИ ВЗАИМООТНОШЕНИЯ (ТРАНСФЕРИ) – (+/-)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5 301,3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1.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ind w:firstLine="220"/>
              <w:jc w:val="both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 xml:space="preserve">Бюджетно взаимоотношение с централния </w:t>
            </w:r>
            <w:proofErr w:type="gramStart"/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бюджет (+/-)</w:t>
            </w:r>
            <w:proofErr w:type="gram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5 301,3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IV.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БЮДЖЕТНО САЛДО (І-ІІ+ІІІ)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 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V.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 xml:space="preserve">ОПЕРАЦИИ В ЧАСТТА НА ФИНАНСИРАНЕТО – </w:t>
            </w:r>
            <w:proofErr w:type="gramStart"/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 xml:space="preserve">НЕТО </w:t>
            </w:r>
            <w:proofErr w:type="gram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0,</w:t>
            </w:r>
            <w:proofErr w:type="spellStart"/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0</w:t>
            </w:r>
            <w:proofErr w:type="spellEnd"/>
          </w:p>
        </w:tc>
      </w:tr>
    </w:tbl>
    <w:p w:rsidR="003A0299" w:rsidRPr="00350917" w:rsidRDefault="003A0299" w:rsidP="003A0299">
      <w:pPr>
        <w:autoSpaceDE w:val="0"/>
        <w:autoSpaceDN w:val="0"/>
        <w:adjustRightInd w:val="0"/>
        <w:spacing w:before="57" w:line="271" w:lineRule="auto"/>
        <w:ind w:firstLine="283"/>
        <w:jc w:val="both"/>
        <w:textAlignment w:val="center"/>
        <w:rPr>
          <w:rFonts w:ascii="TimokCYR Cyr" w:hAnsi="TimokCYR Cyr" w:cs="TimokCYR Cyr"/>
          <w:color w:val="000000"/>
          <w:spacing w:val="-3"/>
          <w:w w:val="98"/>
          <w:sz w:val="17"/>
          <w:szCs w:val="17"/>
          <w:lang w:val="bg-BG"/>
        </w:rPr>
      </w:pPr>
      <w:r w:rsidRPr="00350917">
        <w:rPr>
          <w:rFonts w:ascii="TimokCYR Cyr" w:hAnsi="TimokCYR Cyr" w:cs="TimokCYR Cyr"/>
          <w:color w:val="000000"/>
          <w:spacing w:val="-3"/>
          <w:w w:val="98"/>
          <w:sz w:val="17"/>
          <w:szCs w:val="17"/>
          <w:lang w:val="bg-BG"/>
        </w:rPr>
        <w:t>(2) Утвърждава разпределение на разходите по ал. 1 по функционални области, както следва:</w:t>
      </w:r>
    </w:p>
    <w:tbl>
      <w:tblPr>
        <w:tblW w:w="0" w:type="auto"/>
        <w:tblInd w:w="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7596"/>
        <w:gridCol w:w="1124"/>
      </w:tblGrid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№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Наименование на функционалната област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Сума</w:t>
            </w: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br/>
              <w:t>(хил. лв.)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 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2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 xml:space="preserve"> 1.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Функционална област „Архив на Държавна сигурност и разузнавателните служби на Българската народна армия“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5 301,3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 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Всичко: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5 301,3</w:t>
            </w:r>
          </w:p>
        </w:tc>
      </w:tr>
    </w:tbl>
    <w:p w:rsidR="003A0299" w:rsidRPr="00350917" w:rsidRDefault="003A0299" w:rsidP="003A0299">
      <w:pPr>
        <w:autoSpaceDE w:val="0"/>
        <w:autoSpaceDN w:val="0"/>
        <w:adjustRightInd w:val="0"/>
        <w:spacing w:before="57" w:line="271" w:lineRule="auto"/>
        <w:ind w:firstLine="283"/>
        <w:jc w:val="both"/>
        <w:textAlignment w:val="center"/>
        <w:rPr>
          <w:rFonts w:ascii="TimokCYR Cyr" w:hAnsi="TimokCYR Cyr" w:cs="TimokCYR Cyr"/>
          <w:color w:val="000000"/>
          <w:spacing w:val="-3"/>
          <w:w w:val="98"/>
          <w:sz w:val="17"/>
          <w:szCs w:val="17"/>
          <w:lang w:val="bg-BG"/>
        </w:rPr>
      </w:pPr>
      <w:r w:rsidRPr="00350917">
        <w:rPr>
          <w:rFonts w:ascii="TimokCYR Cyr" w:hAnsi="TimokCYR Cyr" w:cs="TimokCYR Cyr"/>
          <w:color w:val="000000"/>
          <w:spacing w:val="-3"/>
          <w:w w:val="98"/>
          <w:sz w:val="17"/>
          <w:szCs w:val="17"/>
          <w:lang w:val="bg-BG"/>
        </w:rPr>
        <w:t xml:space="preserve">(3) Утвърждава </w:t>
      </w:r>
      <w:proofErr w:type="gramStart"/>
      <w:r w:rsidRPr="00350917">
        <w:rPr>
          <w:rFonts w:ascii="TimokCYR Cyr" w:hAnsi="TimokCYR Cyr" w:cs="TimokCYR Cyr"/>
          <w:color w:val="000000"/>
          <w:spacing w:val="-3"/>
          <w:w w:val="98"/>
          <w:sz w:val="17"/>
          <w:szCs w:val="17"/>
          <w:lang w:val="bg-BG"/>
        </w:rPr>
        <w:t>максималните размери на ангажиментите за разходи, които могат да бъдат поети през 2025 г., и максималните</w:t>
      </w:r>
      <w:proofErr w:type="gramEnd"/>
      <w:r w:rsidRPr="00350917">
        <w:rPr>
          <w:rFonts w:ascii="TimokCYR Cyr" w:hAnsi="TimokCYR Cyr" w:cs="TimokCYR Cyr"/>
          <w:color w:val="000000"/>
          <w:spacing w:val="-3"/>
          <w:w w:val="98"/>
          <w:sz w:val="17"/>
          <w:szCs w:val="17"/>
          <w:lang w:val="bg-BG"/>
        </w:rPr>
        <w:t xml:space="preserve"> размери на новите задължения за разходи, които могат да бъдат натрупани през 2025 г. от 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както следва:</w:t>
      </w:r>
    </w:p>
    <w:tbl>
      <w:tblPr>
        <w:tblW w:w="0" w:type="auto"/>
        <w:tblInd w:w="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7596"/>
        <w:gridCol w:w="1124"/>
      </w:tblGrid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№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Показатели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Сума</w:t>
            </w: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br/>
              <w:t>(</w:t>
            </w:r>
            <w:proofErr w:type="gramStart"/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хил</w:t>
            </w:r>
            <w:proofErr w:type="gramEnd"/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. лв.)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 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2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 xml:space="preserve"> 1.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Максимален размер на ангажиментите за разходи, които могат да бъдат поети през 2025 г.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953,9</w:t>
            </w:r>
          </w:p>
        </w:tc>
      </w:tr>
      <w:tr w:rsidR="003A0299" w:rsidRPr="00350917" w:rsidTr="00E03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 xml:space="preserve"> 2.</w:t>
            </w:r>
          </w:p>
        </w:tc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 Cyr" w:hAnsi="TimokCYR Cyr" w:cs="TimokCYR Cyr"/>
                <w:color w:val="000000"/>
                <w:sz w:val="14"/>
                <w:szCs w:val="14"/>
                <w:lang w:val="bg-BG"/>
              </w:rPr>
              <w:t>Максимален размер на новите задължения за разходи, които могат да бъдат натрупани през 2025 г.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3A0299" w:rsidRPr="00350917" w:rsidRDefault="003A0299" w:rsidP="00E03320">
            <w:pPr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TimokCYR" w:hAnsi="TimokCYR" w:cs="TimokCYR"/>
                <w:color w:val="000000"/>
                <w:sz w:val="19"/>
                <w:szCs w:val="19"/>
                <w:lang w:val="bg-BG"/>
              </w:rPr>
            </w:pPr>
            <w:r w:rsidRPr="00350917">
              <w:rPr>
                <w:rFonts w:ascii="TimokCYR" w:hAnsi="TimokCYR" w:cs="TimokCYR"/>
                <w:color w:val="000000"/>
                <w:sz w:val="14"/>
                <w:szCs w:val="14"/>
                <w:lang w:val="bg-BG"/>
              </w:rPr>
              <w:t>953,9</w:t>
            </w:r>
          </w:p>
        </w:tc>
      </w:tr>
    </w:tbl>
    <w:p w:rsidR="00BB721C" w:rsidRDefault="00BB721C">
      <w:bookmarkStart w:id="0" w:name="_GoBack"/>
      <w:bookmarkEnd w:id="0"/>
    </w:p>
    <w:sectPr w:rsidR="00BB72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okCYR Cyr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TimokCYR">
    <w:altName w:val="Bodoni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E8A"/>
    <w:rsid w:val="00261E8A"/>
    <w:rsid w:val="003A0299"/>
    <w:rsid w:val="00BB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2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2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stefanova</dc:creator>
  <cp:keywords/>
  <dc:description/>
  <cp:lastModifiedBy>stefanova</cp:lastModifiedBy>
  <cp:revision>2</cp:revision>
  <dcterms:created xsi:type="dcterms:W3CDTF">2025-03-27T12:24:00Z</dcterms:created>
  <dcterms:modified xsi:type="dcterms:W3CDTF">2025-03-27T12:24:00Z</dcterms:modified>
</cp:coreProperties>
</file>